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江西省房屋建筑和市政基础设施工程施工</w:t>
      </w:r>
    </w:p>
    <w:p>
      <w:pPr>
        <w:jc w:val="center"/>
        <w:rPr>
          <w:sz w:val="24"/>
          <w:szCs w:val="32"/>
        </w:rPr>
      </w:pPr>
      <w:r>
        <w:rPr>
          <w:rFonts w:hint="eastAsia"/>
          <w:b/>
          <w:bCs/>
          <w:sz w:val="40"/>
          <w:szCs w:val="40"/>
        </w:rPr>
        <w:t>招标公告</w:t>
      </w:r>
      <w:r>
        <w:rPr>
          <w:rFonts w:hint="eastAsia"/>
          <w:sz w:val="24"/>
          <w:szCs w:val="32"/>
        </w:rPr>
        <w:t xml:space="preserve">                      </w:t>
      </w:r>
    </w:p>
    <w:tbl>
      <w:tblPr>
        <w:tblStyle w:val="6"/>
        <w:tblW w:w="10304" w:type="dxa"/>
        <w:jc w:val="center"/>
        <w:tblInd w:w="-86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49"/>
        <w:gridCol w:w="1645"/>
        <w:gridCol w:w="1346"/>
        <w:gridCol w:w="1410"/>
        <w:gridCol w:w="965"/>
        <w:gridCol w:w="535"/>
        <w:gridCol w:w="75"/>
        <w:gridCol w:w="6"/>
        <w:gridCol w:w="182"/>
        <w:gridCol w:w="2579"/>
        <w:gridCol w:w="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385" w:hRule="atLeast"/>
          <w:jc w:val="center"/>
        </w:trPr>
        <w:tc>
          <w:tcPr>
            <w:tcW w:w="1549" w:type="dxa"/>
            <w:tcBorders>
              <w:top w:val="single" w:color="auto" w:sz="4" w:space="0"/>
              <w:left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r>
              <w:rPr>
                <w:rFonts w:hint="eastAsia" w:ascii="宋体" w:hAnsi="宋体" w:cs="宋体"/>
                <w:spacing w:val="40"/>
                <w:sz w:val="24"/>
                <w:szCs w:val="24"/>
                <w:highlight w:val="none"/>
              </w:rPr>
              <w:t>工程名称</w:t>
            </w:r>
          </w:p>
        </w:tc>
        <w:tc>
          <w:tcPr>
            <w:tcW w:w="8743" w:type="dxa"/>
            <w:gridSpan w:val="9"/>
            <w:tcBorders>
              <w:top w:val="single" w:color="auto" w:sz="4" w:space="0"/>
              <w:right w:val="single" w:color="auto" w:sz="4"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宜春职业技术学院女生公寓升级改造工程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385" w:hRule="atLeast"/>
          <w:jc w:val="center"/>
        </w:trPr>
        <w:tc>
          <w:tcPr>
            <w:tcW w:w="1549" w:type="dxa"/>
            <w:tcBorders>
              <w:left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r>
              <w:rPr>
                <w:rFonts w:hint="eastAsia" w:ascii="宋体" w:hAnsi="宋体" w:cs="宋体"/>
                <w:spacing w:val="40"/>
                <w:sz w:val="24"/>
                <w:szCs w:val="24"/>
                <w:highlight w:val="none"/>
              </w:rPr>
              <w:t>建设地点</w:t>
            </w:r>
          </w:p>
        </w:tc>
        <w:tc>
          <w:tcPr>
            <w:tcW w:w="8743" w:type="dxa"/>
            <w:gridSpan w:val="9"/>
            <w:tcBorders>
              <w:right w:val="single" w:color="auto" w:sz="4"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宜春市中心城区中山西路399号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549" w:type="dxa"/>
            <w:vMerge w:val="restart"/>
            <w:tcBorders>
              <w:left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r>
              <w:rPr>
                <w:rFonts w:hint="eastAsia" w:ascii="宋体" w:hAnsi="宋体" w:cs="宋体"/>
                <w:spacing w:val="40"/>
                <w:sz w:val="24"/>
                <w:szCs w:val="24"/>
                <w:highlight w:val="none"/>
              </w:rPr>
              <w:t>工程立项批准文件</w:t>
            </w:r>
          </w:p>
        </w:tc>
        <w:tc>
          <w:tcPr>
            <w:tcW w:w="4401" w:type="dxa"/>
            <w:gridSpan w:val="3"/>
            <w:vMerge w:val="restart"/>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 xml:space="preserve"> /</w:t>
            </w:r>
          </w:p>
        </w:tc>
        <w:tc>
          <w:tcPr>
            <w:tcW w:w="1581" w:type="dxa"/>
            <w:gridSpan w:val="4"/>
            <w:noWrap w:val="0"/>
            <w:vAlign w:val="center"/>
          </w:tcPr>
          <w:p>
            <w:pPr>
              <w:tabs>
                <w:tab w:val="right" w:pos="9638"/>
              </w:tabs>
              <w:spacing w:line="360" w:lineRule="exact"/>
              <w:jc w:val="center"/>
              <w:rPr>
                <w:rFonts w:hint="eastAsia" w:ascii="宋体" w:hAnsi="宋体" w:cs="宋体"/>
                <w:spacing w:val="40"/>
                <w:sz w:val="24"/>
                <w:szCs w:val="24"/>
                <w:highlight w:val="none"/>
              </w:rPr>
            </w:pPr>
            <w:r>
              <w:rPr>
                <w:rFonts w:hint="eastAsia" w:ascii="宋体" w:hAnsi="宋体" w:cs="宋体"/>
                <w:spacing w:val="40"/>
                <w:sz w:val="24"/>
                <w:szCs w:val="24"/>
                <w:highlight w:val="none"/>
              </w:rPr>
              <w:t>设计单</w:t>
            </w:r>
            <w:r>
              <w:rPr>
                <w:rFonts w:hint="eastAsia" w:ascii="宋体" w:hAnsi="宋体" w:cs="宋体"/>
                <w:sz w:val="24"/>
                <w:szCs w:val="24"/>
                <w:highlight w:val="none"/>
              </w:rPr>
              <w:t>位</w:t>
            </w:r>
          </w:p>
        </w:tc>
        <w:tc>
          <w:tcPr>
            <w:tcW w:w="2773" w:type="dxa"/>
            <w:gridSpan w:val="3"/>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549" w:type="dxa"/>
            <w:vMerge w:val="continue"/>
            <w:tcBorders>
              <w:left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p>
        </w:tc>
        <w:tc>
          <w:tcPr>
            <w:tcW w:w="4401" w:type="dxa"/>
            <w:gridSpan w:val="3"/>
            <w:vMerge w:val="continue"/>
            <w:noWrap w:val="0"/>
            <w:vAlign w:val="center"/>
          </w:tcPr>
          <w:p>
            <w:pPr>
              <w:tabs>
                <w:tab w:val="right" w:pos="9638"/>
              </w:tabs>
              <w:spacing w:line="360" w:lineRule="exact"/>
              <w:jc w:val="center"/>
              <w:rPr>
                <w:rFonts w:hint="eastAsia" w:ascii="宋体" w:hAnsi="宋体" w:cs="宋体"/>
                <w:sz w:val="24"/>
                <w:szCs w:val="24"/>
                <w:highlight w:val="none"/>
              </w:rPr>
            </w:pPr>
          </w:p>
        </w:tc>
        <w:tc>
          <w:tcPr>
            <w:tcW w:w="1581" w:type="dxa"/>
            <w:gridSpan w:val="4"/>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工程总投资</w:t>
            </w:r>
          </w:p>
        </w:tc>
        <w:tc>
          <w:tcPr>
            <w:tcW w:w="2773" w:type="dxa"/>
            <w:gridSpan w:val="3"/>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lang w:val="en-US" w:eastAsia="zh-CN"/>
              </w:rPr>
              <w:t>864478.11</w:t>
            </w:r>
            <w:r>
              <w:rPr>
                <w:rFonts w:hint="eastAsia" w:ascii="宋体" w:hAnsi="宋体" w:cs="宋体"/>
                <w:sz w:val="24"/>
                <w:szCs w:val="24"/>
                <w:highlight w:val="none"/>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343" w:hRule="atLeast"/>
          <w:jc w:val="center"/>
        </w:trPr>
        <w:tc>
          <w:tcPr>
            <w:tcW w:w="1549" w:type="dxa"/>
            <w:vMerge w:val="restart"/>
            <w:tcBorders>
              <w:left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r>
              <w:rPr>
                <w:rFonts w:hint="eastAsia" w:ascii="宋体" w:hAnsi="宋体" w:cs="宋体"/>
                <w:spacing w:val="40"/>
                <w:sz w:val="24"/>
                <w:szCs w:val="24"/>
                <w:highlight w:val="none"/>
              </w:rPr>
              <w:t>标段划分</w:t>
            </w:r>
          </w:p>
        </w:tc>
        <w:tc>
          <w:tcPr>
            <w:tcW w:w="4401" w:type="dxa"/>
            <w:gridSpan w:val="3"/>
            <w:noWrap w:val="0"/>
            <w:vAlign w:val="center"/>
          </w:tcPr>
          <w:p>
            <w:pPr>
              <w:tabs>
                <w:tab w:val="right" w:pos="9638"/>
              </w:tabs>
              <w:spacing w:line="360" w:lineRule="exact"/>
              <w:ind w:right="560"/>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第</w:t>
            </w:r>
            <w:r>
              <w:rPr>
                <w:rFonts w:hint="eastAsia" w:ascii="宋体" w:hAnsi="宋体" w:cs="宋体"/>
                <w:sz w:val="24"/>
                <w:szCs w:val="24"/>
                <w:highlight w:val="none"/>
              </w:rPr>
              <w:t>一个标段</w:t>
            </w:r>
            <w:r>
              <w:rPr>
                <w:rFonts w:hint="eastAsia" w:ascii="宋体" w:hAnsi="宋体" w:cs="宋体"/>
                <w:sz w:val="24"/>
                <w:szCs w:val="24"/>
                <w:highlight w:val="none"/>
                <w:lang w:eastAsia="zh-CN"/>
              </w:rPr>
              <w:t>（公共区域）</w:t>
            </w:r>
          </w:p>
        </w:tc>
        <w:tc>
          <w:tcPr>
            <w:tcW w:w="1575" w:type="dxa"/>
            <w:gridSpan w:val="3"/>
            <w:vMerge w:val="restart"/>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rPr>
              <w:t>投资</w:t>
            </w:r>
            <w:r>
              <w:rPr>
                <w:rFonts w:hint="eastAsia" w:ascii="宋体" w:hAnsi="宋体" w:cs="宋体"/>
                <w:sz w:val="24"/>
                <w:szCs w:val="24"/>
                <w:highlight w:val="none"/>
                <w:lang w:eastAsia="zh-CN"/>
              </w:rPr>
              <w:t>金额</w:t>
            </w:r>
          </w:p>
        </w:tc>
        <w:tc>
          <w:tcPr>
            <w:tcW w:w="2767" w:type="dxa"/>
            <w:gridSpan w:val="3"/>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362572.41元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343" w:hRule="atLeast"/>
          <w:jc w:val="center"/>
        </w:trPr>
        <w:tc>
          <w:tcPr>
            <w:tcW w:w="1549" w:type="dxa"/>
            <w:vMerge w:val="continue"/>
            <w:tcBorders>
              <w:left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p>
        </w:tc>
        <w:tc>
          <w:tcPr>
            <w:tcW w:w="4401" w:type="dxa"/>
            <w:gridSpan w:val="3"/>
            <w:noWrap w:val="0"/>
            <w:vAlign w:val="center"/>
          </w:tcPr>
          <w:p>
            <w:pPr>
              <w:tabs>
                <w:tab w:val="right" w:pos="9638"/>
              </w:tabs>
              <w:spacing w:line="360" w:lineRule="exact"/>
              <w:ind w:right="56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eastAsia="zh-CN"/>
              </w:rPr>
              <w:t>第二个标段（</w:t>
            </w:r>
            <w:r>
              <w:rPr>
                <w:rFonts w:hint="eastAsia" w:ascii="宋体" w:hAnsi="宋体" w:cs="宋体"/>
                <w:sz w:val="24"/>
                <w:szCs w:val="24"/>
                <w:highlight w:val="none"/>
                <w:lang w:val="en-US" w:eastAsia="zh-CN"/>
              </w:rPr>
              <w:t>5单元）</w:t>
            </w:r>
          </w:p>
        </w:tc>
        <w:tc>
          <w:tcPr>
            <w:tcW w:w="1575" w:type="dxa"/>
            <w:gridSpan w:val="3"/>
            <w:vMerge w:val="continue"/>
            <w:noWrap w:val="0"/>
            <w:vAlign w:val="center"/>
          </w:tcPr>
          <w:p>
            <w:pPr>
              <w:tabs>
                <w:tab w:val="right" w:pos="9638"/>
              </w:tabs>
              <w:spacing w:line="360" w:lineRule="exact"/>
              <w:jc w:val="center"/>
              <w:rPr>
                <w:rFonts w:hint="eastAsia" w:ascii="宋体" w:hAnsi="宋体" w:cs="宋体"/>
                <w:sz w:val="24"/>
                <w:szCs w:val="24"/>
                <w:highlight w:val="none"/>
              </w:rPr>
            </w:pPr>
          </w:p>
        </w:tc>
        <w:tc>
          <w:tcPr>
            <w:tcW w:w="2767" w:type="dxa"/>
            <w:gridSpan w:val="3"/>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305822.02</w:t>
            </w:r>
            <w:r>
              <w:rPr>
                <w:rFonts w:hint="eastAsia" w:ascii="宋体" w:hAnsi="宋体" w:cs="宋体"/>
                <w:sz w:val="24"/>
                <w:szCs w:val="24"/>
                <w:highlight w:val="none"/>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343" w:hRule="atLeast"/>
          <w:jc w:val="center"/>
        </w:trPr>
        <w:tc>
          <w:tcPr>
            <w:tcW w:w="1549" w:type="dxa"/>
            <w:vMerge w:val="continue"/>
            <w:tcBorders>
              <w:left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p>
        </w:tc>
        <w:tc>
          <w:tcPr>
            <w:tcW w:w="4401" w:type="dxa"/>
            <w:gridSpan w:val="3"/>
            <w:noWrap w:val="0"/>
            <w:vAlign w:val="center"/>
          </w:tcPr>
          <w:p>
            <w:pPr>
              <w:tabs>
                <w:tab w:val="right" w:pos="9638"/>
              </w:tabs>
              <w:spacing w:line="360" w:lineRule="exact"/>
              <w:ind w:right="56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eastAsia="zh-CN"/>
              </w:rPr>
              <w:t>第三个标段（</w:t>
            </w:r>
            <w:r>
              <w:rPr>
                <w:rFonts w:hint="eastAsia" w:ascii="宋体" w:hAnsi="宋体" w:cs="宋体"/>
                <w:sz w:val="24"/>
                <w:szCs w:val="24"/>
                <w:highlight w:val="none"/>
                <w:lang w:val="en-US" w:eastAsia="zh-CN"/>
              </w:rPr>
              <w:t>7套）</w:t>
            </w:r>
          </w:p>
        </w:tc>
        <w:tc>
          <w:tcPr>
            <w:tcW w:w="1575" w:type="dxa"/>
            <w:gridSpan w:val="3"/>
            <w:vMerge w:val="continue"/>
            <w:noWrap w:val="0"/>
            <w:vAlign w:val="center"/>
          </w:tcPr>
          <w:p>
            <w:pPr>
              <w:tabs>
                <w:tab w:val="right" w:pos="9638"/>
              </w:tabs>
              <w:spacing w:line="360" w:lineRule="exact"/>
              <w:jc w:val="center"/>
              <w:rPr>
                <w:rFonts w:hint="eastAsia" w:ascii="宋体" w:hAnsi="宋体" w:cs="宋体"/>
                <w:sz w:val="24"/>
                <w:szCs w:val="24"/>
                <w:highlight w:val="none"/>
              </w:rPr>
            </w:pPr>
          </w:p>
        </w:tc>
        <w:tc>
          <w:tcPr>
            <w:tcW w:w="2767" w:type="dxa"/>
            <w:gridSpan w:val="3"/>
            <w:tcBorders>
              <w:right w:val="single" w:color="auto" w:sz="4" w:space="0"/>
            </w:tcBorders>
            <w:noWrap w:val="0"/>
            <w:vAlign w:val="center"/>
          </w:tcPr>
          <w:p>
            <w:pPr>
              <w:tabs>
                <w:tab w:val="right" w:pos="9638"/>
              </w:tabs>
              <w:spacing w:line="36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169083.68</w:t>
            </w:r>
            <w:r>
              <w:rPr>
                <w:rFonts w:hint="eastAsia" w:ascii="宋体" w:hAnsi="宋体" w:cs="宋体"/>
                <w:sz w:val="24"/>
                <w:szCs w:val="24"/>
                <w:highlight w:val="none"/>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487" w:hRule="atLeast"/>
          <w:jc w:val="center"/>
        </w:trPr>
        <w:tc>
          <w:tcPr>
            <w:tcW w:w="1549" w:type="dxa"/>
            <w:tcBorders>
              <w:left w:val="single" w:color="auto" w:sz="4" w:space="0"/>
              <w:bottom w:val="single" w:color="auto" w:sz="4" w:space="0"/>
            </w:tcBorders>
            <w:noWrap w:val="0"/>
            <w:vAlign w:val="center"/>
          </w:tcPr>
          <w:p>
            <w:pPr>
              <w:tabs>
                <w:tab w:val="right" w:pos="9638"/>
              </w:tabs>
              <w:spacing w:line="360" w:lineRule="exact"/>
              <w:jc w:val="center"/>
              <w:rPr>
                <w:rFonts w:hint="eastAsia" w:ascii="宋体" w:hAnsi="宋体" w:cs="宋体"/>
                <w:spacing w:val="40"/>
                <w:sz w:val="24"/>
                <w:szCs w:val="24"/>
                <w:highlight w:val="none"/>
              </w:rPr>
            </w:pPr>
            <w:r>
              <w:rPr>
                <w:rFonts w:hint="eastAsia" w:ascii="宋体" w:hAnsi="宋体" w:cs="宋体"/>
                <w:spacing w:val="40"/>
                <w:sz w:val="24"/>
                <w:szCs w:val="24"/>
                <w:highlight w:val="none"/>
              </w:rPr>
              <w:t>承包方式</w:t>
            </w:r>
          </w:p>
        </w:tc>
        <w:tc>
          <w:tcPr>
            <w:tcW w:w="4401" w:type="dxa"/>
            <w:gridSpan w:val="3"/>
            <w:tcBorders>
              <w:bottom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包工包料</w:t>
            </w:r>
          </w:p>
        </w:tc>
        <w:tc>
          <w:tcPr>
            <w:tcW w:w="1575" w:type="dxa"/>
            <w:gridSpan w:val="3"/>
            <w:tcBorders>
              <w:bottom w:val="single" w:color="auto" w:sz="4" w:space="0"/>
            </w:tcBorders>
            <w:noWrap w:val="0"/>
            <w:vAlign w:val="center"/>
          </w:tcPr>
          <w:p>
            <w:pPr>
              <w:tabs>
                <w:tab w:val="right" w:pos="9638"/>
              </w:tabs>
              <w:spacing w:line="360" w:lineRule="exact"/>
              <w:ind w:right="-63" w:rightChars="-30"/>
              <w:jc w:val="center"/>
              <w:rPr>
                <w:rFonts w:hint="eastAsia" w:ascii="宋体" w:hAnsi="宋体" w:cs="宋体"/>
                <w:spacing w:val="40"/>
                <w:sz w:val="24"/>
                <w:szCs w:val="24"/>
                <w:highlight w:val="none"/>
              </w:rPr>
            </w:pPr>
            <w:r>
              <w:rPr>
                <w:rFonts w:hint="eastAsia" w:ascii="宋体" w:hAnsi="宋体" w:cs="宋体"/>
                <w:spacing w:val="40"/>
                <w:sz w:val="24"/>
                <w:szCs w:val="24"/>
                <w:highlight w:val="none"/>
              </w:rPr>
              <w:t>质量要求</w:t>
            </w:r>
          </w:p>
        </w:tc>
        <w:tc>
          <w:tcPr>
            <w:tcW w:w="2767" w:type="dxa"/>
            <w:gridSpan w:val="3"/>
            <w:tcBorders>
              <w:bottom w:val="single" w:color="auto" w:sz="4" w:space="0"/>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合格工程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514" w:hRule="atLeast"/>
          <w:jc w:val="center"/>
        </w:trPr>
        <w:tc>
          <w:tcPr>
            <w:tcW w:w="1549" w:type="dxa"/>
            <w:tcBorders>
              <w:top w:val="single" w:color="auto" w:sz="4" w:space="0"/>
              <w:left w:val="single" w:color="auto" w:sz="4" w:space="0"/>
              <w:bottom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工 期 要 求</w:t>
            </w:r>
          </w:p>
        </w:tc>
        <w:tc>
          <w:tcPr>
            <w:tcW w:w="8743" w:type="dxa"/>
            <w:gridSpan w:val="9"/>
            <w:tcBorders>
              <w:top w:val="single" w:color="auto" w:sz="4" w:space="0"/>
              <w:bottom w:val="single" w:color="auto" w:sz="4" w:space="0"/>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工期</w:t>
            </w:r>
            <w:r>
              <w:rPr>
                <w:rFonts w:hint="eastAsia" w:ascii="宋体" w:hAnsi="宋体" w:cs="宋体"/>
                <w:sz w:val="24"/>
                <w:szCs w:val="24"/>
                <w:highlight w:val="none"/>
                <w:lang w:val="en-US" w:eastAsia="zh-CN"/>
              </w:rPr>
              <w:t>：8月20日前完成。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345" w:hRule="atLeast"/>
          <w:jc w:val="center"/>
        </w:trPr>
        <w:tc>
          <w:tcPr>
            <w:tcW w:w="1549" w:type="dxa"/>
            <w:tcBorders>
              <w:lef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要求投标单位资质等级</w:t>
            </w:r>
          </w:p>
        </w:tc>
        <w:tc>
          <w:tcPr>
            <w:tcW w:w="8743" w:type="dxa"/>
            <w:gridSpan w:val="9"/>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lang w:eastAsia="zh-CN"/>
              </w:rPr>
              <w:t>建筑工程施工总承包三级或建筑装修装饰工程(最新标准)三级及以上资质</w:t>
            </w:r>
            <w:r>
              <w:rPr>
                <w:rFonts w:hint="eastAsia" w:ascii="宋体" w:hAnsi="宋体" w:cs="宋体"/>
                <w:sz w:val="24"/>
                <w:szCs w:val="24"/>
                <w:highlight w:val="none"/>
              </w:rPr>
              <w:t>资质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226" w:hRule="atLeast"/>
          <w:jc w:val="center"/>
        </w:trPr>
        <w:tc>
          <w:tcPr>
            <w:tcW w:w="1549" w:type="dxa"/>
            <w:tcBorders>
              <w:lef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现场踏勘</w:t>
            </w:r>
          </w:p>
        </w:tc>
        <w:tc>
          <w:tcPr>
            <w:tcW w:w="1645" w:type="dxa"/>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时间</w:t>
            </w:r>
          </w:p>
        </w:tc>
        <w:tc>
          <w:tcPr>
            <w:tcW w:w="2756" w:type="dxa"/>
            <w:gridSpan w:val="2"/>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不组织、自行踏勘</w:t>
            </w:r>
          </w:p>
        </w:tc>
        <w:tc>
          <w:tcPr>
            <w:tcW w:w="1575" w:type="dxa"/>
            <w:gridSpan w:val="3"/>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地点</w:t>
            </w:r>
          </w:p>
        </w:tc>
        <w:tc>
          <w:tcPr>
            <w:tcW w:w="2767" w:type="dxa"/>
            <w:gridSpan w:val="3"/>
            <w:tcBorders>
              <w:left w:val="single" w:color="auto" w:sz="4" w:space="0"/>
              <w:right w:val="single" w:color="auto" w:sz="4" w:space="0"/>
            </w:tcBorders>
            <w:noWrap w:val="0"/>
            <w:vAlign w:val="center"/>
          </w:tcPr>
          <w:p>
            <w:pPr>
              <w:tabs>
                <w:tab w:val="right" w:pos="9638"/>
              </w:tabs>
              <w:spacing w:line="360" w:lineRule="exact"/>
              <w:jc w:val="center"/>
              <w:rPr>
                <w:rFonts w:hint="eastAsia" w:ascii="宋体" w:hAnsi="宋体" w:eastAsia="宋体" w:cs="宋体"/>
                <w:b/>
                <w:sz w:val="24"/>
                <w:szCs w:val="24"/>
                <w:highlight w:val="none"/>
                <w:lang w:eastAsia="zh-CN"/>
              </w:rPr>
            </w:pPr>
            <w:r>
              <w:rPr>
                <w:rFonts w:hint="eastAsia" w:ascii="宋体" w:hAnsi="宋体" w:eastAsia="宋体" w:cs="宋体"/>
                <w:sz w:val="24"/>
                <w:szCs w:val="24"/>
                <w:highlight w:val="none"/>
                <w:lang w:eastAsia="zh-CN"/>
              </w:rPr>
              <w:t>宜春市中心城区中山西路399号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738" w:hRule="atLeast"/>
          <w:jc w:val="center"/>
        </w:trPr>
        <w:tc>
          <w:tcPr>
            <w:tcW w:w="1549" w:type="dxa"/>
            <w:tcBorders>
              <w:lef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招标答疑会</w:t>
            </w:r>
          </w:p>
        </w:tc>
        <w:tc>
          <w:tcPr>
            <w:tcW w:w="8743" w:type="dxa"/>
            <w:gridSpan w:val="9"/>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不集中组织答疑，若有疑问请在</w:t>
            </w:r>
            <w:r>
              <w:rPr>
                <w:rFonts w:hint="eastAsia" w:ascii="宋体" w:hAnsi="宋体" w:cs="宋体"/>
                <w:sz w:val="24"/>
                <w:szCs w:val="24"/>
                <w:highlight w:val="none"/>
                <w:lang w:eastAsia="zh-CN"/>
              </w:rPr>
              <w:t>2019年</w:t>
            </w:r>
            <w:r>
              <w:rPr>
                <w:rFonts w:hint="eastAsia" w:ascii="宋体" w:hAnsi="宋体" w:cs="宋体"/>
                <w:sz w:val="24"/>
                <w:szCs w:val="24"/>
                <w:highlight w:val="none"/>
                <w:lang w:val="en-US" w:eastAsia="zh-CN"/>
              </w:rPr>
              <w:t>7</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26</w:t>
            </w:r>
            <w:r>
              <w:rPr>
                <w:rFonts w:hint="eastAsia" w:ascii="宋体" w:hAnsi="宋体" w:cs="宋体"/>
                <w:sz w:val="24"/>
                <w:szCs w:val="24"/>
                <w:highlight w:val="none"/>
              </w:rPr>
              <w:t>日</w:t>
            </w:r>
            <w:r>
              <w:rPr>
                <w:rFonts w:hint="eastAsia" w:ascii="宋体" w:hAnsi="宋体" w:cs="宋体"/>
                <w:sz w:val="24"/>
                <w:szCs w:val="24"/>
                <w:highlight w:val="none"/>
              </w:rPr>
              <w:t>下午17:00前将疑问加盖公章送达或传真至招标人（代理机构）处，将在一日内回复。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738" w:hRule="atLeast"/>
          <w:jc w:val="center"/>
        </w:trPr>
        <w:tc>
          <w:tcPr>
            <w:tcW w:w="1549" w:type="dxa"/>
            <w:tcBorders>
              <w:left w:val="single" w:color="auto" w:sz="4" w:space="0"/>
            </w:tcBorders>
            <w:noWrap w:val="0"/>
            <w:vAlign w:val="center"/>
          </w:tcPr>
          <w:p>
            <w:pPr>
              <w:tabs>
                <w:tab w:val="right" w:pos="9638"/>
              </w:tabs>
              <w:spacing w:line="360" w:lineRule="exact"/>
              <w:rPr>
                <w:rFonts w:hint="eastAsia" w:ascii="宋体" w:hAnsi="宋体" w:cs="宋体"/>
                <w:sz w:val="24"/>
                <w:szCs w:val="24"/>
                <w:highlight w:val="none"/>
              </w:rPr>
            </w:pPr>
            <w:r>
              <w:rPr>
                <w:rFonts w:hint="eastAsia" w:ascii="宋体" w:hAnsi="宋体" w:cs="宋体"/>
                <w:sz w:val="24"/>
                <w:szCs w:val="24"/>
                <w:highlight w:val="none"/>
              </w:rPr>
              <w:t>投标保证金</w:t>
            </w:r>
          </w:p>
        </w:tc>
        <w:tc>
          <w:tcPr>
            <w:tcW w:w="8743" w:type="dxa"/>
            <w:gridSpan w:val="9"/>
            <w:tcBorders>
              <w:right w:val="single" w:color="auto" w:sz="4" w:space="0"/>
            </w:tcBorders>
            <w:noWrap w:val="0"/>
            <w:vAlign w:val="center"/>
          </w:tcPr>
          <w:p>
            <w:pPr>
              <w:tabs>
                <w:tab w:val="right" w:pos="9638"/>
              </w:tabs>
              <w:spacing w:line="360" w:lineRule="exact"/>
              <w:jc w:val="both"/>
              <w:rPr>
                <w:rFonts w:hint="eastAsia"/>
                <w:szCs w:val="22"/>
                <w:highlight w:val="none"/>
                <w:lang w:eastAsia="zh-CN"/>
              </w:rPr>
            </w:pPr>
            <w:r>
              <w:rPr>
                <w:rFonts w:hint="eastAsia"/>
                <w:szCs w:val="22"/>
                <w:highlight w:val="none"/>
              </w:rPr>
              <w:t>投标保证金的金额：</w:t>
            </w:r>
            <w:r>
              <w:rPr>
                <w:rFonts w:hint="eastAsia"/>
                <w:szCs w:val="22"/>
                <w:highlight w:val="none"/>
                <w:lang w:val="en-US" w:eastAsia="zh-CN"/>
              </w:rPr>
              <w:t>16000</w:t>
            </w:r>
            <w:r>
              <w:rPr>
                <w:rFonts w:hint="eastAsia"/>
                <w:szCs w:val="22"/>
                <w:highlight w:val="none"/>
              </w:rPr>
              <w:t>元整</w:t>
            </w:r>
            <w:r>
              <w:rPr>
                <w:rFonts w:hint="eastAsia"/>
                <w:szCs w:val="22"/>
                <w:highlight w:val="none"/>
                <w:lang w:eastAsia="zh-CN"/>
              </w:rPr>
              <w:t>，汇入以下帐户：</w:t>
            </w:r>
          </w:p>
          <w:p>
            <w:pPr>
              <w:tabs>
                <w:tab w:val="right" w:pos="9638"/>
              </w:tabs>
              <w:spacing w:line="360" w:lineRule="exact"/>
              <w:jc w:val="both"/>
              <w:rPr>
                <w:rFonts w:hint="eastAsia"/>
                <w:szCs w:val="22"/>
                <w:highlight w:val="none"/>
              </w:rPr>
            </w:pPr>
            <w:r>
              <w:rPr>
                <w:rFonts w:hint="eastAsia"/>
                <w:szCs w:val="22"/>
                <w:highlight w:val="none"/>
              </w:rPr>
              <w:t>开  户 名 称：宜春</w:t>
            </w:r>
            <w:r>
              <w:rPr>
                <w:rFonts w:hint="eastAsia"/>
                <w:szCs w:val="22"/>
                <w:highlight w:val="none"/>
                <w:lang w:eastAsia="zh-CN"/>
              </w:rPr>
              <w:t>明月</w:t>
            </w:r>
            <w:r>
              <w:rPr>
                <w:rFonts w:hint="eastAsia"/>
                <w:szCs w:val="22"/>
                <w:highlight w:val="none"/>
              </w:rPr>
              <w:t>招标咨询有限公司</w:t>
            </w:r>
          </w:p>
          <w:p>
            <w:pPr>
              <w:tabs>
                <w:tab w:val="right" w:pos="9638"/>
              </w:tabs>
              <w:spacing w:line="360" w:lineRule="exact"/>
              <w:jc w:val="both"/>
              <w:rPr>
                <w:rFonts w:hint="eastAsia"/>
                <w:szCs w:val="22"/>
                <w:highlight w:val="none"/>
              </w:rPr>
            </w:pPr>
            <w:r>
              <w:rPr>
                <w:rFonts w:hint="eastAsia"/>
                <w:szCs w:val="22"/>
                <w:highlight w:val="none"/>
              </w:rPr>
              <w:t>开  户 银 行：中国工商银行宜春分行平安支行</w:t>
            </w:r>
          </w:p>
          <w:p>
            <w:pPr>
              <w:tabs>
                <w:tab w:val="right" w:pos="9638"/>
              </w:tabs>
              <w:spacing w:line="360" w:lineRule="exact"/>
              <w:jc w:val="both"/>
              <w:rPr>
                <w:rFonts w:hint="eastAsia"/>
                <w:highlight w:val="none"/>
                <w:lang w:eastAsia="zh-CN"/>
              </w:rPr>
            </w:pPr>
            <w:r>
              <w:rPr>
                <w:rFonts w:hint="eastAsia"/>
                <w:szCs w:val="22"/>
                <w:highlight w:val="none"/>
              </w:rPr>
              <w:t>帐        号：1508 2010 0900 0081 334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533" w:hRule="atLeast"/>
          <w:jc w:val="center"/>
        </w:trPr>
        <w:tc>
          <w:tcPr>
            <w:tcW w:w="1549" w:type="dxa"/>
            <w:tcBorders>
              <w:left w:val="single" w:color="auto" w:sz="4"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招标方式</w:t>
            </w:r>
          </w:p>
        </w:tc>
        <w:tc>
          <w:tcPr>
            <w:tcW w:w="4401" w:type="dxa"/>
            <w:gridSpan w:val="3"/>
            <w:tcBorders>
              <w:right w:val="single" w:color="auto" w:sz="4" w:space="0"/>
            </w:tcBorders>
            <w:noWrap w:val="0"/>
            <w:vAlign w:val="center"/>
          </w:tcPr>
          <w:p>
            <w:pPr>
              <w:tabs>
                <w:tab w:val="right" w:pos="9638"/>
              </w:tabs>
              <w:spacing w:line="360" w:lineRule="exact"/>
              <w:jc w:val="center"/>
              <w:rPr>
                <w:rFonts w:hint="eastAsia" w:eastAsia="宋体"/>
                <w:szCs w:val="22"/>
                <w:highlight w:val="none"/>
                <w:lang w:eastAsia="zh-CN"/>
              </w:rPr>
            </w:pPr>
            <w:r>
              <w:rPr>
                <w:rFonts w:hint="eastAsia"/>
                <w:szCs w:val="22"/>
                <w:highlight w:val="none"/>
                <w:lang w:eastAsia="zh-CN"/>
              </w:rPr>
              <w:t>公开招标（校内网）</w:t>
            </w:r>
          </w:p>
        </w:tc>
        <w:tc>
          <w:tcPr>
            <w:tcW w:w="1763" w:type="dxa"/>
            <w:gridSpan w:val="5"/>
            <w:tcBorders>
              <w:right w:val="single" w:color="auto" w:sz="4" w:space="0"/>
            </w:tcBorders>
            <w:noWrap w:val="0"/>
            <w:vAlign w:val="center"/>
          </w:tcPr>
          <w:p>
            <w:pPr>
              <w:tabs>
                <w:tab w:val="right" w:pos="9638"/>
              </w:tabs>
              <w:spacing w:line="360" w:lineRule="exact"/>
              <w:jc w:val="center"/>
              <w:rPr>
                <w:rFonts w:hint="eastAsia" w:eastAsia="宋体"/>
                <w:szCs w:val="22"/>
                <w:highlight w:val="none"/>
                <w:lang w:eastAsia="zh-CN"/>
              </w:rPr>
            </w:pPr>
            <w:r>
              <w:rPr>
                <w:rFonts w:hint="eastAsia"/>
                <w:szCs w:val="22"/>
                <w:highlight w:val="none"/>
                <w:lang w:eastAsia="zh-CN"/>
              </w:rPr>
              <w:t>定标方式</w:t>
            </w:r>
          </w:p>
        </w:tc>
        <w:tc>
          <w:tcPr>
            <w:tcW w:w="2579" w:type="dxa"/>
            <w:tcBorders>
              <w:right w:val="single" w:color="auto" w:sz="4" w:space="0"/>
            </w:tcBorders>
            <w:noWrap w:val="0"/>
            <w:vAlign w:val="center"/>
          </w:tcPr>
          <w:p>
            <w:pPr>
              <w:tabs>
                <w:tab w:val="right" w:pos="9638"/>
              </w:tabs>
              <w:spacing w:line="360" w:lineRule="exact"/>
              <w:jc w:val="center"/>
              <w:rPr>
                <w:rFonts w:hint="eastAsia" w:eastAsia="宋体"/>
                <w:szCs w:val="22"/>
                <w:highlight w:val="none"/>
                <w:lang w:eastAsia="zh-CN"/>
              </w:rPr>
            </w:pPr>
            <w:r>
              <w:rPr>
                <w:rFonts w:hint="eastAsia"/>
                <w:szCs w:val="22"/>
                <w:highlight w:val="none"/>
                <w:lang w:eastAsia="zh-CN"/>
              </w:rPr>
              <w:t>平均值负近值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444" w:hRule="atLeast"/>
          <w:jc w:val="center"/>
        </w:trPr>
        <w:tc>
          <w:tcPr>
            <w:tcW w:w="1549" w:type="dxa"/>
            <w:tcBorders>
              <w:left w:val="single" w:color="auto" w:sz="4" w:space="0"/>
            </w:tcBorders>
            <w:noWrap w:val="0"/>
            <w:vAlign w:val="center"/>
          </w:tcPr>
          <w:p>
            <w:pPr>
              <w:tabs>
                <w:tab w:val="right" w:pos="9638"/>
              </w:tabs>
              <w:spacing w:line="360" w:lineRule="exact"/>
              <w:jc w:val="both"/>
              <w:rPr>
                <w:rFonts w:hint="eastAsia" w:ascii="宋体" w:hAnsi="宋体" w:cs="宋体"/>
                <w:sz w:val="24"/>
                <w:szCs w:val="24"/>
                <w:highlight w:val="none"/>
              </w:rPr>
            </w:pPr>
            <w:r>
              <w:rPr>
                <w:rFonts w:hint="eastAsia" w:ascii="宋体" w:hAnsi="宋体" w:cs="宋体"/>
                <w:spacing w:val="40"/>
                <w:sz w:val="24"/>
                <w:szCs w:val="24"/>
                <w:highlight w:val="none"/>
              </w:rPr>
              <w:t>投标件份   数</w:t>
            </w:r>
          </w:p>
        </w:tc>
        <w:tc>
          <w:tcPr>
            <w:tcW w:w="8743" w:type="dxa"/>
            <w:gridSpan w:val="9"/>
            <w:tcBorders>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商务标文件正本壹份，副本</w:t>
            </w:r>
            <w:r>
              <w:rPr>
                <w:rFonts w:hint="eastAsia" w:ascii="宋体" w:hAnsi="宋体" w:cs="宋体"/>
                <w:sz w:val="24"/>
                <w:szCs w:val="24"/>
                <w:highlight w:val="none"/>
                <w:lang w:eastAsia="zh-CN"/>
              </w:rPr>
              <w:t>贰</w:t>
            </w:r>
            <w:r>
              <w:rPr>
                <w:rFonts w:hint="eastAsia" w:ascii="宋体" w:hAnsi="宋体" w:cs="宋体"/>
                <w:sz w:val="24"/>
                <w:szCs w:val="24"/>
                <w:highlight w:val="none"/>
              </w:rPr>
              <w:t>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139" w:hRule="atLeast"/>
          <w:jc w:val="center"/>
        </w:trPr>
        <w:tc>
          <w:tcPr>
            <w:tcW w:w="1549" w:type="dxa"/>
            <w:tcBorders>
              <w:lef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投  标  文</w:t>
            </w:r>
          </w:p>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件  递  交</w:t>
            </w:r>
          </w:p>
        </w:tc>
        <w:tc>
          <w:tcPr>
            <w:tcW w:w="1645" w:type="dxa"/>
            <w:tcBorders>
              <w:right w:val="single" w:color="auto" w:sz="8"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受理单位</w:t>
            </w:r>
          </w:p>
        </w:tc>
        <w:tc>
          <w:tcPr>
            <w:tcW w:w="2756" w:type="dxa"/>
            <w:gridSpan w:val="2"/>
            <w:tcBorders>
              <w:left w:val="single" w:color="auto" w:sz="8" w:space="0"/>
              <w:right w:val="single" w:color="auto" w:sz="8"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宜春明月招标咨询有限公司</w:t>
            </w:r>
          </w:p>
        </w:tc>
        <w:tc>
          <w:tcPr>
            <w:tcW w:w="965" w:type="dxa"/>
            <w:tcBorders>
              <w:left w:val="single" w:color="auto" w:sz="8" w:space="0"/>
              <w:right w:val="single" w:color="auto" w:sz="8"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地点</w:t>
            </w:r>
          </w:p>
        </w:tc>
        <w:tc>
          <w:tcPr>
            <w:tcW w:w="3377" w:type="dxa"/>
            <w:gridSpan w:val="5"/>
            <w:tcBorders>
              <w:left w:val="single" w:color="auto" w:sz="8" w:space="0"/>
              <w:right w:val="single" w:color="auto" w:sz="4"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eastAsia="zh-CN"/>
              </w:rPr>
              <w:t>宜春职业技术学院</w:t>
            </w:r>
            <w:r>
              <w:rPr>
                <w:rFonts w:hint="eastAsia" w:ascii="宋体" w:hAnsi="宋体" w:cs="宋体"/>
                <w:sz w:val="24"/>
                <w:szCs w:val="24"/>
                <w:highlight w:val="none"/>
                <w:lang w:val="en-US" w:eastAsia="zh-CN"/>
              </w:rPr>
              <w:t>8</w:t>
            </w:r>
            <w:r>
              <w:rPr>
                <w:rFonts w:hint="eastAsia" w:ascii="宋体" w:hAnsi="宋体" w:cs="宋体"/>
                <w:sz w:val="24"/>
                <w:szCs w:val="24"/>
                <w:highlight w:val="none"/>
                <w:lang w:eastAsia="zh-CN"/>
              </w:rPr>
              <w:t>楼会议室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trHeight w:val="139" w:hRule="atLeast"/>
          <w:jc w:val="center"/>
        </w:trPr>
        <w:tc>
          <w:tcPr>
            <w:tcW w:w="1549" w:type="dxa"/>
            <w:tcBorders>
              <w:left w:val="single" w:color="auto" w:sz="4"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联系人及电话</w:t>
            </w:r>
          </w:p>
        </w:tc>
        <w:tc>
          <w:tcPr>
            <w:tcW w:w="4401" w:type="dxa"/>
            <w:gridSpan w:val="3"/>
            <w:tcBorders>
              <w:right w:val="single" w:color="auto" w:sz="8" w:space="0"/>
            </w:tcBorders>
            <w:noWrap w:val="0"/>
            <w:vAlign w:val="center"/>
          </w:tcPr>
          <w:p>
            <w:pPr>
              <w:tabs>
                <w:tab w:val="right" w:pos="9638"/>
              </w:tabs>
              <w:spacing w:line="36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eastAsia="zh-CN"/>
              </w:rPr>
              <w:t>蓝宪法</w:t>
            </w:r>
            <w:r>
              <w:rPr>
                <w:rFonts w:hint="eastAsia" w:ascii="宋体" w:hAnsi="宋体" w:cs="宋体"/>
                <w:sz w:val="24"/>
                <w:szCs w:val="24"/>
                <w:highlight w:val="none"/>
                <w:lang w:val="en-US" w:eastAsia="zh-CN"/>
              </w:rPr>
              <w:t>13507959382</w:t>
            </w:r>
          </w:p>
        </w:tc>
        <w:tc>
          <w:tcPr>
            <w:tcW w:w="4342" w:type="dxa"/>
            <w:gridSpan w:val="6"/>
            <w:tcBorders>
              <w:left w:val="single" w:color="auto" w:sz="8" w:space="0"/>
              <w:right w:val="single" w:color="auto" w:sz="4" w:space="0"/>
            </w:tcBorders>
            <w:noWrap w:val="0"/>
            <w:vAlign w:val="center"/>
          </w:tcPr>
          <w:p>
            <w:pPr>
              <w:tabs>
                <w:tab w:val="right" w:pos="9638"/>
              </w:tabs>
              <w:spacing w:line="360" w:lineRule="exact"/>
              <w:jc w:val="center"/>
              <w:rPr>
                <w:rFonts w:hint="default" w:ascii="宋体" w:hAnsi="宋体" w:cs="宋体"/>
                <w:sz w:val="24"/>
                <w:szCs w:val="24"/>
                <w:highlight w:val="none"/>
                <w:lang w:val="en-US" w:eastAsia="zh-CN"/>
              </w:rPr>
            </w:pPr>
            <w:r>
              <w:rPr>
                <w:rFonts w:hint="eastAsia" w:ascii="宋体" w:hAnsi="宋体" w:cs="宋体"/>
                <w:sz w:val="24"/>
                <w:szCs w:val="24"/>
                <w:highlight w:val="none"/>
                <w:lang w:eastAsia="zh-CN"/>
              </w:rPr>
              <w:t>熊剑0795-3203968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447" w:hRule="atLeast"/>
          <w:jc w:val="center"/>
        </w:trPr>
        <w:tc>
          <w:tcPr>
            <w:tcW w:w="1549" w:type="dxa"/>
            <w:vMerge w:val="restart"/>
            <w:tcBorders>
              <w:top w:val="single" w:color="auto" w:sz="4" w:space="0"/>
              <w:lef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开  标  会</w:t>
            </w:r>
          </w:p>
        </w:tc>
        <w:tc>
          <w:tcPr>
            <w:tcW w:w="1645" w:type="dxa"/>
            <w:tcBorders>
              <w:top w:val="single" w:color="auto" w:sz="4" w:space="0"/>
              <w:bottom w:val="single" w:color="auto" w:sz="4" w:space="0"/>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时间</w:t>
            </w:r>
          </w:p>
        </w:tc>
        <w:tc>
          <w:tcPr>
            <w:tcW w:w="7098" w:type="dxa"/>
            <w:gridSpan w:val="8"/>
            <w:tcBorders>
              <w:top w:val="single" w:color="auto" w:sz="4" w:space="0"/>
              <w:left w:val="single" w:color="auto" w:sz="4" w:space="0"/>
              <w:bottom w:val="single" w:color="auto" w:sz="4" w:space="0"/>
              <w:right w:val="single" w:color="auto" w:sz="4" w:space="0"/>
            </w:tcBorders>
            <w:noWrap w:val="0"/>
            <w:vAlign w:val="center"/>
          </w:tcPr>
          <w:p>
            <w:pPr>
              <w:tabs>
                <w:tab w:val="right" w:pos="9638"/>
              </w:tabs>
              <w:spacing w:line="360" w:lineRule="exact"/>
              <w:ind w:firstLine="960" w:firstLineChars="400"/>
              <w:rPr>
                <w:rFonts w:hint="eastAsia" w:ascii="宋体" w:hAnsi="宋体" w:cs="宋体"/>
                <w:sz w:val="24"/>
                <w:szCs w:val="24"/>
                <w:highlight w:val="none"/>
              </w:rPr>
            </w:pPr>
            <w:r>
              <w:rPr>
                <w:rFonts w:hint="eastAsia" w:ascii="宋体" w:hAnsi="宋体" w:cs="宋体"/>
                <w:sz w:val="24"/>
                <w:szCs w:val="24"/>
                <w:highlight w:val="none"/>
              </w:rPr>
              <w:t>201</w:t>
            </w:r>
            <w:r>
              <w:rPr>
                <w:rFonts w:hint="eastAsia" w:ascii="宋体" w:hAnsi="宋体" w:cs="宋体"/>
                <w:sz w:val="24"/>
                <w:szCs w:val="24"/>
                <w:highlight w:val="none"/>
                <w:lang w:val="en-US" w:eastAsia="zh-CN"/>
              </w:rPr>
              <w:t>9</w:t>
            </w:r>
            <w:r>
              <w:rPr>
                <w:rFonts w:hint="eastAsia" w:ascii="宋体" w:hAnsi="宋体" w:cs="宋体"/>
                <w:sz w:val="24"/>
                <w:szCs w:val="24"/>
                <w:highlight w:val="none"/>
              </w:rPr>
              <w:t>年</w:t>
            </w:r>
            <w:r>
              <w:rPr>
                <w:rFonts w:hint="eastAsia" w:ascii="宋体" w:hAnsi="宋体" w:cs="宋体"/>
                <w:sz w:val="24"/>
                <w:szCs w:val="24"/>
                <w:highlight w:val="none"/>
                <w:lang w:val="en-US" w:eastAsia="zh-CN"/>
              </w:rPr>
              <w:t>7</w:t>
            </w:r>
            <w:r>
              <w:rPr>
                <w:rFonts w:hint="eastAsia" w:ascii="宋体" w:hAnsi="宋体" w:cs="宋体"/>
                <w:sz w:val="24"/>
                <w:szCs w:val="24"/>
                <w:highlight w:val="none"/>
              </w:rPr>
              <w:t>月</w:t>
            </w:r>
            <w:r>
              <w:rPr>
                <w:rFonts w:hint="eastAsia" w:ascii="宋体" w:hAnsi="宋体" w:cs="宋体"/>
                <w:sz w:val="24"/>
                <w:szCs w:val="24"/>
                <w:highlight w:val="none"/>
                <w:lang w:val="en-US" w:eastAsia="zh-CN"/>
              </w:rPr>
              <w:t>31</w:t>
            </w:r>
            <w:r>
              <w:rPr>
                <w:rFonts w:hint="eastAsia" w:ascii="宋体" w:hAnsi="宋体" w:cs="宋体"/>
                <w:sz w:val="24"/>
                <w:szCs w:val="24"/>
                <w:highlight w:val="none"/>
              </w:rPr>
              <w:t>日</w:t>
            </w:r>
            <w:r>
              <w:rPr>
                <w:rFonts w:hint="eastAsia" w:ascii="宋体" w:hAnsi="宋体" w:cs="宋体"/>
                <w:sz w:val="24"/>
                <w:szCs w:val="24"/>
                <w:highlight w:val="none"/>
                <w:lang w:val="en-US" w:eastAsia="zh-CN"/>
              </w:rPr>
              <w:t>9</w:t>
            </w:r>
            <w:r>
              <w:rPr>
                <w:rFonts w:hint="eastAsia" w:ascii="宋体" w:hAnsi="宋体" w:cs="宋体"/>
                <w:sz w:val="24"/>
                <w:szCs w:val="24"/>
                <w:highlight w:val="none"/>
              </w:rPr>
              <w:t>时00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465" w:hRule="atLeast"/>
          <w:jc w:val="center"/>
        </w:trPr>
        <w:tc>
          <w:tcPr>
            <w:tcW w:w="1549" w:type="dxa"/>
            <w:vMerge w:val="continue"/>
            <w:tcBorders>
              <w:left w:val="single" w:color="auto" w:sz="4" w:space="0"/>
              <w:bottom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p>
        </w:tc>
        <w:tc>
          <w:tcPr>
            <w:tcW w:w="1645" w:type="dxa"/>
            <w:tcBorders>
              <w:top w:val="single" w:color="auto" w:sz="4" w:space="0"/>
              <w:bottom w:val="single" w:color="auto" w:sz="4" w:space="0"/>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地点</w:t>
            </w:r>
          </w:p>
        </w:tc>
        <w:tc>
          <w:tcPr>
            <w:tcW w:w="7098" w:type="dxa"/>
            <w:gridSpan w:val="8"/>
            <w:tcBorders>
              <w:top w:val="single" w:color="auto" w:sz="4" w:space="0"/>
              <w:left w:val="single" w:color="auto" w:sz="4" w:space="0"/>
              <w:bottom w:val="single" w:color="auto" w:sz="4" w:space="0"/>
              <w:right w:val="single" w:color="auto" w:sz="4" w:space="0"/>
            </w:tcBorders>
            <w:noWrap w:val="0"/>
            <w:vAlign w:val="center"/>
          </w:tcPr>
          <w:p>
            <w:pPr>
              <w:tabs>
                <w:tab w:val="right" w:pos="9638"/>
              </w:tabs>
              <w:spacing w:line="360" w:lineRule="exact"/>
              <w:ind w:firstLine="960" w:firstLineChars="400"/>
              <w:jc w:val="both"/>
              <w:rPr>
                <w:rFonts w:hint="eastAsia" w:ascii="宋体" w:hAnsi="宋体" w:cs="宋体"/>
                <w:sz w:val="24"/>
                <w:szCs w:val="24"/>
                <w:highlight w:val="none"/>
              </w:rPr>
            </w:pPr>
            <w:r>
              <w:rPr>
                <w:rFonts w:hint="eastAsia" w:ascii="宋体" w:hAnsi="宋体" w:cs="宋体"/>
                <w:sz w:val="24"/>
                <w:szCs w:val="24"/>
                <w:highlight w:val="none"/>
                <w:lang w:eastAsia="zh-CN"/>
              </w:rPr>
              <w:t>宜春职业技术学院</w:t>
            </w:r>
            <w:r>
              <w:rPr>
                <w:rFonts w:hint="eastAsia" w:ascii="宋体" w:hAnsi="宋体" w:cs="宋体"/>
                <w:sz w:val="24"/>
                <w:szCs w:val="24"/>
                <w:highlight w:val="none"/>
                <w:lang w:val="en-US" w:eastAsia="zh-CN"/>
              </w:rPr>
              <w:t>8</w:t>
            </w:r>
            <w:r>
              <w:rPr>
                <w:rFonts w:hint="eastAsia" w:ascii="宋体" w:hAnsi="宋体" w:cs="宋体"/>
                <w:sz w:val="24"/>
                <w:szCs w:val="24"/>
                <w:highlight w:val="none"/>
                <w:lang w:eastAsia="zh-CN"/>
              </w:rPr>
              <w:t>楼会议室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547" w:hRule="atLeast"/>
          <w:jc w:val="center"/>
        </w:trPr>
        <w:tc>
          <w:tcPr>
            <w:tcW w:w="1549" w:type="dxa"/>
            <w:tcBorders>
              <w:top w:val="single" w:color="auto" w:sz="4" w:space="0"/>
              <w:left w:val="single" w:color="auto" w:sz="4" w:space="0"/>
              <w:bottom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资金来源</w:t>
            </w:r>
          </w:p>
        </w:tc>
        <w:tc>
          <w:tcPr>
            <w:tcW w:w="2991" w:type="dxa"/>
            <w:gridSpan w:val="2"/>
            <w:tcBorders>
              <w:top w:val="single" w:color="auto" w:sz="4" w:space="0"/>
              <w:bottom w:val="single" w:color="auto" w:sz="4" w:space="0"/>
              <w:right w:val="single" w:color="auto" w:sz="4"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自筹</w:t>
            </w:r>
          </w:p>
        </w:tc>
        <w:tc>
          <w:tcPr>
            <w:tcW w:w="2910" w:type="dxa"/>
            <w:gridSpan w:val="3"/>
            <w:tcBorders>
              <w:top w:val="single" w:color="auto" w:sz="4" w:space="0"/>
              <w:left w:val="single" w:color="auto" w:sz="4" w:space="0"/>
              <w:bottom w:val="single" w:color="auto" w:sz="4" w:space="0"/>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资金到位情况</w:t>
            </w:r>
          </w:p>
        </w:tc>
        <w:tc>
          <w:tcPr>
            <w:tcW w:w="2842" w:type="dxa"/>
            <w:gridSpan w:val="4"/>
            <w:tcBorders>
              <w:top w:val="single" w:color="auto" w:sz="4" w:space="0"/>
              <w:left w:val="single" w:color="auto" w:sz="4" w:space="0"/>
              <w:bottom w:val="single" w:color="auto" w:sz="4" w:space="0"/>
              <w:right w:val="single" w:color="auto" w:sz="4" w:space="0"/>
            </w:tcBorders>
            <w:noWrap w:val="0"/>
            <w:vAlign w:val="center"/>
          </w:tcPr>
          <w:p>
            <w:pPr>
              <w:tabs>
                <w:tab w:val="right" w:pos="9638"/>
              </w:tabs>
              <w:spacing w:line="360" w:lineRule="exact"/>
              <w:jc w:val="center"/>
              <w:rPr>
                <w:rFonts w:hint="eastAsia" w:ascii="宋体" w:hAnsi="宋体" w:cs="宋体"/>
                <w:sz w:val="24"/>
                <w:szCs w:val="24"/>
                <w:highlight w:val="none"/>
              </w:rPr>
            </w:pPr>
            <w:r>
              <w:rPr>
                <w:rFonts w:hint="eastAsia" w:ascii="宋体" w:hAnsi="宋体" w:cs="宋体"/>
                <w:sz w:val="24"/>
                <w:szCs w:val="24"/>
                <w:highlight w:val="none"/>
              </w:rPr>
              <w:t>已到位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12" w:type="dxa"/>
          <w:cantSplit/>
          <w:trHeight w:val="14262" w:hRule="atLeast"/>
          <w:jc w:val="center"/>
        </w:trPr>
        <w:tc>
          <w:tcPr>
            <w:tcW w:w="1549" w:type="dxa"/>
            <w:tcBorders>
              <w:top w:val="single" w:color="auto" w:sz="4" w:space="0"/>
              <w:left w:val="single" w:color="auto" w:sz="4" w:space="0"/>
              <w:bottom w:val="single" w:color="auto" w:sz="4" w:space="0"/>
            </w:tcBorders>
            <w:noWrap w:val="0"/>
            <w:vAlign w:val="center"/>
          </w:tcPr>
          <w:p>
            <w:pPr>
              <w:tabs>
                <w:tab w:val="right" w:pos="9638"/>
              </w:tabs>
              <w:spacing w:line="36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其它说明</w:t>
            </w:r>
          </w:p>
        </w:tc>
        <w:tc>
          <w:tcPr>
            <w:tcW w:w="8743" w:type="dxa"/>
            <w:gridSpan w:val="9"/>
            <w:tcBorders>
              <w:top w:val="single" w:color="auto" w:sz="4" w:space="0"/>
              <w:bottom w:val="single" w:color="auto" w:sz="4" w:space="0"/>
              <w:right w:val="single" w:color="auto" w:sz="4" w:space="0"/>
            </w:tcBorders>
            <w:noWrap w:val="0"/>
            <w:vAlign w:val="center"/>
          </w:tcPr>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1、报名事宜</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hint="eastAsia" w:ascii="仿宋_GB2312" w:eastAsia="仿宋_GB2312"/>
                <w:sz w:val="28"/>
                <w:szCs w:val="28"/>
                <w:highlight w:val="none"/>
              </w:rPr>
            </w:pPr>
            <w:r>
              <w:rPr>
                <w:rFonts w:hint="eastAsia" w:ascii="仿宋_GB2312" w:eastAsia="仿宋_GB2312"/>
                <w:sz w:val="28"/>
                <w:szCs w:val="28"/>
                <w:highlight w:val="none"/>
                <w:lang w:eastAsia="zh-CN"/>
              </w:rPr>
              <w:t>拟报名单位</w:t>
            </w:r>
            <w:r>
              <w:rPr>
                <w:rFonts w:hint="eastAsia" w:ascii="仿宋_GB2312" w:eastAsia="仿宋_GB2312"/>
                <w:sz w:val="28"/>
                <w:szCs w:val="28"/>
                <w:highlight w:val="none"/>
              </w:rPr>
              <w:t>须提供下列</w:t>
            </w:r>
            <w:r>
              <w:rPr>
                <w:rFonts w:hint="eastAsia" w:ascii="仿宋_GB2312" w:eastAsia="仿宋_GB2312"/>
                <w:sz w:val="28"/>
                <w:szCs w:val="28"/>
                <w:highlight w:val="none"/>
                <w:lang w:eastAsia="zh-CN"/>
              </w:rPr>
              <w:t>资料（扫描发送至</w:t>
            </w:r>
            <w:r>
              <w:rPr>
                <w:rFonts w:hint="eastAsia" w:ascii="仿宋_GB2312" w:eastAsia="仿宋_GB2312"/>
                <w:sz w:val="28"/>
                <w:szCs w:val="28"/>
                <w:highlight w:val="none"/>
              </w:rPr>
              <w:t>512917785@qq.com</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 xml:space="preserve">： </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hint="eastAsia" w:ascii="仿宋_GB2312" w:eastAsia="仿宋_GB2312"/>
                <w:sz w:val="28"/>
                <w:szCs w:val="28"/>
                <w:highlight w:val="none"/>
              </w:rPr>
            </w:pP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企业法人营业执照副本、企业税务登记证副本、企业组织机构代码证副本或三证合一</w:t>
            </w:r>
            <w:r>
              <w:rPr>
                <w:rFonts w:hint="eastAsia" w:ascii="仿宋_GB2312" w:eastAsia="仿宋_GB2312"/>
                <w:sz w:val="28"/>
                <w:szCs w:val="28"/>
                <w:highlight w:val="none"/>
                <w:lang w:eastAsia="zh-CN"/>
              </w:rPr>
              <w:t>原件扫描件</w:t>
            </w:r>
            <w:r>
              <w:rPr>
                <w:rFonts w:hint="eastAsia" w:ascii="仿宋_GB2312" w:eastAsia="仿宋_GB2312"/>
                <w:sz w:val="28"/>
                <w:szCs w:val="28"/>
                <w:highlight w:val="none"/>
              </w:rPr>
              <w:t>；</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hint="eastAsia" w:ascii="仿宋_GB2312" w:eastAsia="仿宋_GB2312"/>
                <w:sz w:val="28"/>
                <w:szCs w:val="28"/>
                <w:highlight w:val="none"/>
              </w:rPr>
            </w:pP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lang w:eastAsia="zh-CN"/>
              </w:rPr>
              <w:t>资质证书原件扫描件；</w:t>
            </w:r>
            <w:r>
              <w:rPr>
                <w:rFonts w:hint="eastAsia" w:ascii="仿宋_GB2312" w:eastAsia="仿宋_GB2312"/>
                <w:sz w:val="28"/>
                <w:szCs w:val="28"/>
                <w:highlight w:val="none"/>
              </w:rPr>
              <w:t xml:space="preserve"> </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hint="default"/>
                <w:highlight w:val="none"/>
                <w:lang w:val="en-US" w:eastAsia="zh-CN"/>
              </w:rPr>
            </w:pP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）授权代理人</w:t>
            </w:r>
            <w:r>
              <w:rPr>
                <w:rFonts w:hint="eastAsia" w:ascii="仿宋_GB2312" w:eastAsia="仿宋_GB2312"/>
                <w:sz w:val="28"/>
                <w:szCs w:val="28"/>
                <w:highlight w:val="none"/>
                <w:lang w:eastAsia="zh-CN"/>
              </w:rPr>
              <w:t>委托书原件扫描件；</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、开标现场须当场查</w:t>
            </w:r>
            <w:r>
              <w:rPr>
                <w:rFonts w:hint="eastAsia" w:ascii="仿宋" w:hAnsi="仿宋" w:eastAsia="仿宋" w:cs="仿宋"/>
                <w:color w:val="auto"/>
                <w:kern w:val="0"/>
                <w:sz w:val="30"/>
                <w:szCs w:val="30"/>
                <w:highlight w:val="none"/>
              </w:rPr>
              <w:t>验</w:t>
            </w:r>
            <w:r>
              <w:rPr>
                <w:rFonts w:hint="eastAsia" w:ascii="仿宋_GB2312" w:eastAsia="仿宋_GB2312"/>
                <w:sz w:val="28"/>
                <w:szCs w:val="28"/>
                <w:highlight w:val="none"/>
              </w:rPr>
              <w:t>的证件（书）有：</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hint="eastAsia" w:ascii="仿宋_GB2312" w:eastAsia="仿宋_GB2312"/>
                <w:b/>
                <w:bCs/>
                <w:sz w:val="28"/>
                <w:szCs w:val="28"/>
                <w:highlight w:val="none"/>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1）</w:t>
            </w:r>
            <w:r>
              <w:rPr>
                <w:rFonts w:hint="eastAsia" w:ascii="仿宋_GB2312" w:eastAsia="仿宋_GB2312"/>
                <w:b/>
                <w:bCs/>
                <w:sz w:val="28"/>
                <w:szCs w:val="28"/>
                <w:highlight w:val="none"/>
              </w:rPr>
              <w:t>企业营业执照</w:t>
            </w:r>
            <w:r>
              <w:rPr>
                <w:rFonts w:hint="eastAsia" w:ascii="仿宋_GB2312" w:eastAsia="仿宋_GB2312"/>
                <w:b/>
                <w:bCs/>
                <w:sz w:val="28"/>
                <w:szCs w:val="28"/>
                <w:highlight w:val="none"/>
                <w:lang w:eastAsia="zh-CN"/>
              </w:rPr>
              <w:t>复印件加盖公章</w:t>
            </w:r>
            <w:r>
              <w:rPr>
                <w:rFonts w:hint="eastAsia" w:ascii="仿宋_GB2312" w:eastAsia="仿宋_GB2312"/>
                <w:b/>
                <w:bCs/>
                <w:sz w:val="28"/>
                <w:szCs w:val="28"/>
                <w:highlight w:val="none"/>
              </w:rPr>
              <w:t>；</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b/>
                <w:bCs/>
                <w:sz w:val="28"/>
                <w:szCs w:val="28"/>
                <w:highlight w:val="none"/>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2）</w:t>
            </w:r>
            <w:r>
              <w:rPr>
                <w:rFonts w:hint="eastAsia" w:ascii="仿宋_GB2312" w:eastAsia="仿宋_GB2312"/>
                <w:b/>
                <w:bCs/>
                <w:sz w:val="28"/>
                <w:szCs w:val="28"/>
                <w:highlight w:val="none"/>
              </w:rPr>
              <w:t>企业资质证书复印件</w:t>
            </w:r>
            <w:r>
              <w:rPr>
                <w:rFonts w:hint="eastAsia" w:ascii="仿宋_GB2312" w:eastAsia="仿宋_GB2312"/>
                <w:b/>
                <w:bCs/>
                <w:sz w:val="28"/>
                <w:szCs w:val="28"/>
                <w:highlight w:val="none"/>
                <w:lang w:eastAsia="zh-CN"/>
              </w:rPr>
              <w:t>加盖公章</w:t>
            </w:r>
            <w:r>
              <w:rPr>
                <w:rFonts w:hint="eastAsia" w:ascii="仿宋_GB2312" w:eastAsia="仿宋_GB2312"/>
                <w:b/>
                <w:bCs/>
                <w:sz w:val="28"/>
                <w:szCs w:val="28"/>
                <w:highlight w:val="none"/>
              </w:rPr>
              <w:t>；</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hint="eastAsia" w:ascii="仿宋_GB2312" w:eastAsia="仿宋_GB2312"/>
                <w:b/>
                <w:bCs/>
                <w:sz w:val="28"/>
                <w:szCs w:val="28"/>
                <w:highlight w:val="none"/>
                <w:lang w:eastAsia="zh-CN"/>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3）</w:t>
            </w:r>
            <w:r>
              <w:rPr>
                <w:rFonts w:hint="eastAsia" w:ascii="仿宋_GB2312" w:eastAsia="仿宋_GB2312"/>
                <w:b/>
                <w:bCs/>
                <w:sz w:val="28"/>
                <w:szCs w:val="28"/>
                <w:highlight w:val="none"/>
              </w:rPr>
              <w:t>在有效期内的安全生产许可证复印件</w:t>
            </w:r>
            <w:r>
              <w:rPr>
                <w:rFonts w:hint="eastAsia" w:ascii="仿宋_GB2312" w:eastAsia="仿宋_GB2312"/>
                <w:b/>
                <w:bCs/>
                <w:sz w:val="28"/>
                <w:szCs w:val="28"/>
                <w:highlight w:val="none"/>
                <w:lang w:eastAsia="zh-CN"/>
              </w:rPr>
              <w:t>加盖公章</w:t>
            </w:r>
            <w:r>
              <w:rPr>
                <w:rFonts w:hint="eastAsia" w:ascii="仿宋_GB2312" w:eastAsia="仿宋_GB2312"/>
                <w:b/>
                <w:bCs/>
                <w:sz w:val="28"/>
                <w:szCs w:val="28"/>
                <w:highlight w:val="none"/>
              </w:rPr>
              <w:t>；</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b/>
                <w:bCs/>
                <w:sz w:val="28"/>
                <w:szCs w:val="28"/>
                <w:highlight w:val="none"/>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4）</w:t>
            </w:r>
            <w:r>
              <w:rPr>
                <w:rFonts w:hint="eastAsia" w:ascii="仿宋_GB2312" w:eastAsia="仿宋_GB2312"/>
                <w:b/>
                <w:bCs/>
                <w:sz w:val="28"/>
                <w:szCs w:val="28"/>
                <w:highlight w:val="none"/>
              </w:rPr>
              <w:t>法定代表人</w:t>
            </w:r>
            <w:r>
              <w:rPr>
                <w:rFonts w:hint="eastAsia" w:ascii="仿宋_GB2312" w:eastAsia="仿宋_GB2312"/>
                <w:b/>
                <w:bCs/>
                <w:sz w:val="28"/>
                <w:szCs w:val="28"/>
                <w:highlight w:val="none"/>
                <w:lang w:eastAsia="zh-CN"/>
              </w:rPr>
              <w:t>身份证</w:t>
            </w:r>
            <w:r>
              <w:rPr>
                <w:rFonts w:hint="eastAsia" w:ascii="仿宋_GB2312" w:eastAsia="仿宋_GB2312"/>
                <w:b/>
                <w:bCs/>
                <w:sz w:val="28"/>
                <w:szCs w:val="28"/>
                <w:highlight w:val="none"/>
              </w:rPr>
              <w:t>或法定代表人授权委托书原件及授权人身份证</w:t>
            </w:r>
            <w:r>
              <w:rPr>
                <w:rFonts w:hint="eastAsia" w:ascii="仿宋_GB2312" w:eastAsia="仿宋_GB2312"/>
                <w:b/>
                <w:bCs/>
                <w:sz w:val="28"/>
                <w:szCs w:val="28"/>
                <w:highlight w:val="none"/>
                <w:lang w:eastAsia="zh-CN"/>
              </w:rPr>
              <w:t>；</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b/>
                <w:bCs/>
                <w:sz w:val="28"/>
                <w:szCs w:val="28"/>
                <w:highlight w:val="none"/>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5）</w:t>
            </w:r>
            <w:r>
              <w:rPr>
                <w:rFonts w:hint="eastAsia" w:ascii="仿宋_GB2312" w:eastAsia="仿宋_GB2312"/>
                <w:b/>
                <w:bCs/>
                <w:sz w:val="28"/>
                <w:szCs w:val="28"/>
                <w:highlight w:val="none"/>
              </w:rPr>
              <w:t>技术负责人职称证书；</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hint="eastAsia" w:ascii="仿宋_GB2312" w:eastAsia="仿宋_GB2312"/>
                <w:b/>
                <w:bCs/>
                <w:sz w:val="28"/>
                <w:szCs w:val="28"/>
                <w:highlight w:val="none"/>
                <w:lang w:eastAsia="zh-CN"/>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6）</w:t>
            </w:r>
            <w:r>
              <w:rPr>
                <w:rFonts w:hint="eastAsia" w:ascii="仿宋_GB2312" w:eastAsia="仿宋_GB2312"/>
                <w:b/>
                <w:bCs/>
                <w:sz w:val="28"/>
                <w:szCs w:val="28"/>
                <w:highlight w:val="none"/>
              </w:rPr>
              <w:t>关键岗位人员岗位证书</w:t>
            </w:r>
            <w:r>
              <w:rPr>
                <w:rFonts w:hint="eastAsia" w:ascii="仿宋_GB2312" w:eastAsia="仿宋_GB2312"/>
                <w:b/>
                <w:bCs/>
                <w:sz w:val="28"/>
                <w:szCs w:val="28"/>
                <w:highlight w:val="none"/>
                <w:lang w:eastAsia="zh-CN"/>
              </w:rPr>
              <w:t>；</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hint="eastAsia" w:ascii="仿宋_GB2312" w:eastAsia="仿宋_GB2312"/>
                <w:b/>
                <w:bCs/>
                <w:sz w:val="28"/>
                <w:szCs w:val="28"/>
                <w:highlight w:val="none"/>
                <w:lang w:val="en-US" w:eastAsia="zh-CN"/>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7）</w:t>
            </w:r>
            <w:r>
              <w:rPr>
                <w:rFonts w:hint="eastAsia" w:ascii="仿宋_GB2312" w:eastAsia="仿宋_GB2312" w:cs="Times New Roman"/>
                <w:b/>
                <w:bCs/>
                <w:sz w:val="28"/>
                <w:szCs w:val="28"/>
                <w:highlight w:val="none"/>
              </w:rPr>
              <w:t>工程质量保修书</w:t>
            </w:r>
            <w:r>
              <w:rPr>
                <w:rFonts w:hint="eastAsia" w:ascii="仿宋_GB2312" w:eastAsia="仿宋_GB2312" w:cs="Times New Roman"/>
                <w:b/>
                <w:bCs/>
                <w:sz w:val="28"/>
                <w:szCs w:val="28"/>
                <w:highlight w:val="none"/>
                <w:lang w:eastAsia="zh-CN"/>
              </w:rPr>
              <w:t>或售后服务承诺书原件；</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ascii="仿宋_GB2312" w:eastAsia="仿宋_GB2312"/>
                <w:b/>
                <w:bCs/>
                <w:sz w:val="28"/>
                <w:szCs w:val="28"/>
                <w:highlight w:val="none"/>
              </w:rPr>
            </w:pPr>
            <w:r>
              <w:rPr>
                <w:rFonts w:hint="eastAsia" w:ascii="仿宋_GB2312" w:eastAsia="仿宋_GB2312"/>
                <w:b/>
                <w:bCs/>
                <w:sz w:val="28"/>
                <w:szCs w:val="28"/>
                <w:highlight w:val="none"/>
                <w:lang w:eastAsia="zh-CN"/>
              </w:rPr>
              <w:t>（</w:t>
            </w:r>
            <w:r>
              <w:rPr>
                <w:rFonts w:hint="eastAsia" w:ascii="仿宋_GB2312" w:eastAsia="仿宋_GB2312"/>
                <w:b/>
                <w:bCs/>
                <w:sz w:val="28"/>
                <w:szCs w:val="28"/>
                <w:highlight w:val="none"/>
                <w:lang w:val="en-US" w:eastAsia="zh-CN"/>
              </w:rPr>
              <w:t>8）</w:t>
            </w:r>
            <w:r>
              <w:rPr>
                <w:rFonts w:hint="eastAsia" w:ascii="仿宋_GB2312" w:eastAsia="仿宋_GB2312"/>
                <w:b/>
                <w:bCs/>
                <w:sz w:val="28"/>
                <w:szCs w:val="28"/>
                <w:highlight w:val="none"/>
              </w:rPr>
              <w:t>投标保证金进账单凭证原件，未按要求提供者，按无效投标处理。</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ascii="仿宋_GB2312" w:eastAsia="仿宋_GB2312"/>
                <w:sz w:val="28"/>
                <w:szCs w:val="28"/>
                <w:highlight w:val="none"/>
              </w:rPr>
            </w:pP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、投标单位签章齐全的纸制投标文件，正本一份，副本</w:t>
            </w:r>
            <w:r>
              <w:rPr>
                <w:rFonts w:hint="eastAsia" w:ascii="仿宋_GB2312" w:eastAsia="仿宋_GB2312"/>
                <w:sz w:val="28"/>
                <w:szCs w:val="28"/>
                <w:highlight w:val="none"/>
                <w:lang w:eastAsia="zh-CN"/>
              </w:rPr>
              <w:t>贰</w:t>
            </w:r>
            <w:r>
              <w:rPr>
                <w:rFonts w:hint="eastAsia" w:ascii="仿宋_GB2312" w:eastAsia="仿宋_GB2312"/>
                <w:sz w:val="28"/>
                <w:szCs w:val="28"/>
                <w:highlight w:val="none"/>
              </w:rPr>
              <w:t>份。</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outlineLvl w:val="9"/>
              <w:rPr>
                <w:rFonts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、中标单位必须在领取中标通知书后次日算起</w:t>
            </w:r>
            <w:r>
              <w:rPr>
                <w:rFonts w:hint="eastAsia" w:ascii="仿宋_GB2312" w:eastAsia="仿宋_GB2312"/>
                <w:sz w:val="28"/>
                <w:szCs w:val="28"/>
                <w:highlight w:val="none"/>
                <w:lang w:val="en-US" w:eastAsia="zh-CN"/>
              </w:rPr>
              <w:t>7</w:t>
            </w:r>
            <w:r>
              <w:rPr>
                <w:rFonts w:hint="eastAsia" w:ascii="仿宋_GB2312" w:eastAsia="仿宋_GB2312"/>
                <w:sz w:val="28"/>
                <w:szCs w:val="28"/>
                <w:highlight w:val="none"/>
              </w:rPr>
              <w:t xml:space="preserve"> 天内和招标人签订合同。</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、各种安全防护等措施需按照业主的要求进行设置，费用由乙方承担，施工中不另行签证，决算中不作调整。</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sz w:val="28"/>
                <w:szCs w:val="28"/>
                <w:highlight w:val="none"/>
              </w:rPr>
            </w:pP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、本工程中标单位应根据业主要求的进度安排组织好施工场地的施工顺序、进度计划。</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sz w:val="28"/>
                <w:szCs w:val="28"/>
                <w:highlight w:val="none"/>
              </w:rPr>
            </w:pPr>
            <w:r>
              <w:rPr>
                <w:rFonts w:hint="eastAsia" w:ascii="仿宋_GB2312" w:eastAsia="仿宋_GB2312"/>
                <w:sz w:val="28"/>
                <w:szCs w:val="28"/>
                <w:highlight w:val="none"/>
                <w:lang w:val="en-US" w:eastAsia="zh-CN"/>
              </w:rPr>
              <w:t>7</w:t>
            </w:r>
            <w:r>
              <w:rPr>
                <w:rFonts w:hint="eastAsia" w:ascii="仿宋_GB2312" w:eastAsia="仿宋_GB2312"/>
                <w:sz w:val="28"/>
                <w:szCs w:val="28"/>
                <w:highlight w:val="none"/>
              </w:rPr>
              <w:t>、施工期间的一切伤亡等安全事故，均由中标人承担，招标人不负任何责任。</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sz w:val="28"/>
                <w:szCs w:val="28"/>
                <w:highlight w:val="none"/>
              </w:rPr>
            </w:pP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、投标单位无条件服从招标单位的工期安排。</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ascii="仿宋_GB2312" w:eastAsia="仿宋_GB2312"/>
                <w:sz w:val="28"/>
                <w:szCs w:val="28"/>
                <w:highlight w:val="none"/>
              </w:rPr>
            </w:pP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、本工程不得挂</w:t>
            </w:r>
            <w:bookmarkStart w:id="0" w:name="_GoBack"/>
            <w:bookmarkEnd w:id="0"/>
            <w:r>
              <w:rPr>
                <w:rFonts w:hint="eastAsia" w:ascii="仿宋_GB2312" w:eastAsia="仿宋_GB2312"/>
                <w:sz w:val="28"/>
                <w:szCs w:val="28"/>
                <w:highlight w:val="none"/>
              </w:rPr>
              <w:t>靠、不得转包，如若发现有挂靠或转包和违法分包的，则招标人有权终止合同，没收保证金。</w:t>
            </w:r>
          </w:p>
          <w:p>
            <w:pPr>
              <w:keepNext w:val="0"/>
              <w:keepLines w:val="0"/>
              <w:pageBreakBefore w:val="0"/>
              <w:widowControl w:val="0"/>
              <w:tabs>
                <w:tab w:val="right" w:pos="9638"/>
              </w:tabs>
              <w:kinsoku/>
              <w:wordWrap/>
              <w:overflowPunct/>
              <w:topLinePunct w:val="0"/>
              <w:autoSpaceDE/>
              <w:autoSpaceDN/>
              <w:bidi w:val="0"/>
              <w:adjustRightInd/>
              <w:snapToGrid/>
              <w:spacing w:line="400" w:lineRule="exact"/>
              <w:textAlignment w:val="auto"/>
              <w:rPr>
                <w:rFonts w:hint="eastAsia" w:ascii="仿宋_GB2312" w:eastAsia="仿宋_GB2312"/>
                <w:sz w:val="28"/>
                <w:szCs w:val="28"/>
                <w:highlight w:val="none"/>
              </w:rPr>
            </w:pP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、投标单位提供的材料若有虚假按废标处理，中标的取消中标资格并没收投标保证金。</w:t>
            </w:r>
          </w:p>
          <w:p>
            <w:pPr>
              <w:pStyle w:val="2"/>
              <w:keepNext w:val="0"/>
              <w:keepLines w:val="0"/>
              <w:pageBreakBefore w:val="0"/>
              <w:widowControl w:val="0"/>
              <w:kinsoku/>
              <w:wordWrap/>
              <w:overflowPunct/>
              <w:topLinePunct w:val="0"/>
              <w:autoSpaceDE/>
              <w:autoSpaceDN/>
              <w:bidi w:val="0"/>
              <w:snapToGrid/>
              <w:spacing w:line="360" w:lineRule="exact"/>
              <w:ind w:left="0" w:leftChars="0" w:firstLine="0" w:firstLineChars="0"/>
              <w:rPr>
                <w:rFonts w:hint="default" w:ascii="仿宋_GB2312" w:eastAsia="仿宋_GB2312"/>
                <w:kern w:val="2"/>
                <w:sz w:val="28"/>
                <w:szCs w:val="28"/>
                <w:highlight w:val="none"/>
                <w:lang w:val="en-US" w:eastAsia="zh-CN" w:bidi="ar-SA"/>
              </w:rPr>
            </w:pPr>
            <w:r>
              <w:rPr>
                <w:rFonts w:hint="eastAsia" w:ascii="仿宋_GB2312" w:eastAsia="仿宋_GB2312"/>
                <w:sz w:val="28"/>
                <w:szCs w:val="28"/>
                <w:highlight w:val="none"/>
                <w:lang w:val="en-US" w:eastAsia="zh-CN"/>
              </w:rPr>
              <w:t>11、定</w:t>
            </w:r>
            <w:r>
              <w:rPr>
                <w:rFonts w:hint="eastAsia" w:ascii="仿宋_GB2312" w:eastAsia="仿宋_GB2312"/>
                <w:kern w:val="2"/>
                <w:sz w:val="28"/>
                <w:szCs w:val="28"/>
                <w:highlight w:val="none"/>
                <w:lang w:val="en-US" w:eastAsia="zh-CN" w:bidi="ar-SA"/>
              </w:rPr>
              <w:t>标段方式：投标单位按总预算金额864478.11进行报价，按平均值负近值排序，排序第一、第二、第三的投标公司分别为第一标段（362572.41元）、第二标段（305822.02元）、第三标段（169083.68元）的中标单位。</w:t>
            </w:r>
          </w:p>
          <w:p>
            <w:pPr>
              <w:pStyle w:val="16"/>
              <w:keepNext w:val="0"/>
              <w:keepLines w:val="0"/>
              <w:pageBreakBefore w:val="0"/>
              <w:widowControl w:val="0"/>
              <w:tabs>
                <w:tab w:val="right" w:pos="9638"/>
              </w:tabs>
              <w:kinsoku/>
              <w:wordWrap/>
              <w:overflowPunct/>
              <w:topLinePunct w:val="0"/>
              <w:autoSpaceDE/>
              <w:autoSpaceDN/>
              <w:bidi w:val="0"/>
              <w:snapToGrid/>
              <w:spacing w:line="360" w:lineRule="exact"/>
              <w:ind w:firstLine="0" w:firstLineChars="0"/>
              <w:rPr>
                <w:rFonts w:ascii="仿宋_GB2312" w:eastAsia="仿宋_GB2312"/>
                <w:sz w:val="28"/>
                <w:szCs w:val="28"/>
                <w:highlight w:val="none"/>
              </w:rPr>
            </w:pPr>
            <w:r>
              <w:rPr>
                <w:rFonts w:hint="eastAsia" w:ascii="仿宋_GB2312" w:eastAsia="仿宋_GB2312"/>
                <w:sz w:val="28"/>
                <w:szCs w:val="28"/>
                <w:highlight w:val="none"/>
                <w:lang w:val="en-US" w:eastAsia="zh-CN"/>
              </w:rPr>
              <w:t>12</w:t>
            </w:r>
            <w:r>
              <w:rPr>
                <w:rFonts w:hint="eastAsia" w:ascii="仿宋_GB2312" w:eastAsia="仿宋_GB2312"/>
                <w:sz w:val="28"/>
                <w:szCs w:val="28"/>
                <w:highlight w:val="none"/>
              </w:rPr>
              <w:t>、招标代理费、评审费、预算编制费</w:t>
            </w:r>
            <w:r>
              <w:rPr>
                <w:rFonts w:hint="eastAsia" w:ascii="仿宋_GB2312" w:eastAsia="仿宋_GB2312"/>
                <w:sz w:val="28"/>
                <w:szCs w:val="28"/>
                <w:highlight w:val="none"/>
                <w:lang w:eastAsia="zh-CN"/>
              </w:rPr>
              <w:t>、监理费</w:t>
            </w:r>
            <w:r>
              <w:rPr>
                <w:rFonts w:hint="eastAsia" w:ascii="仿宋_GB2312" w:eastAsia="仿宋_GB2312"/>
                <w:sz w:val="28"/>
                <w:szCs w:val="28"/>
                <w:highlight w:val="none"/>
              </w:rPr>
              <w:t>由中标单位支付。</w:t>
            </w:r>
          </w:p>
          <w:p>
            <w:pPr>
              <w:tabs>
                <w:tab w:val="right" w:pos="9638"/>
              </w:tabs>
              <w:spacing w:line="360" w:lineRule="exact"/>
              <w:jc w:val="left"/>
              <w:rPr>
                <w:rFonts w:hint="eastAsia" w:ascii="宋体" w:hAnsi="宋体" w:cs="宋体"/>
                <w:sz w:val="24"/>
                <w:szCs w:val="24"/>
                <w:highlight w:val="none"/>
              </w:rPr>
            </w:pPr>
            <w:r>
              <w:rPr>
                <w:rFonts w:hint="eastAsia" w:ascii="仿宋_GB2312" w:eastAsia="仿宋_GB2312"/>
                <w:sz w:val="28"/>
                <w:szCs w:val="28"/>
                <w:highlight w:val="none"/>
              </w:rPr>
              <w:t>1</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、未尽事宜双方在合同中约定。</w:t>
            </w:r>
          </w:p>
        </w:tc>
      </w:tr>
    </w:tbl>
    <w:p/>
    <w:sectPr>
      <w:pgSz w:w="11906" w:h="16838"/>
      <w:pgMar w:top="1134" w:right="1080" w:bottom="1134"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F5862"/>
    <w:rsid w:val="000324D7"/>
    <w:rsid w:val="0014133C"/>
    <w:rsid w:val="00160370"/>
    <w:rsid w:val="001B0D3F"/>
    <w:rsid w:val="001C535A"/>
    <w:rsid w:val="002B3C8B"/>
    <w:rsid w:val="002D1C75"/>
    <w:rsid w:val="002D6D65"/>
    <w:rsid w:val="003420C1"/>
    <w:rsid w:val="003652DF"/>
    <w:rsid w:val="003A46B4"/>
    <w:rsid w:val="004631C4"/>
    <w:rsid w:val="005C4F22"/>
    <w:rsid w:val="00624E5E"/>
    <w:rsid w:val="006A12DE"/>
    <w:rsid w:val="006B07EE"/>
    <w:rsid w:val="006B771D"/>
    <w:rsid w:val="006E12DB"/>
    <w:rsid w:val="006F2C5F"/>
    <w:rsid w:val="006F78AC"/>
    <w:rsid w:val="00714BFE"/>
    <w:rsid w:val="00775231"/>
    <w:rsid w:val="007805DB"/>
    <w:rsid w:val="008534B1"/>
    <w:rsid w:val="008876D8"/>
    <w:rsid w:val="008A4778"/>
    <w:rsid w:val="008B5A0E"/>
    <w:rsid w:val="009324B0"/>
    <w:rsid w:val="009A1DAC"/>
    <w:rsid w:val="009A5625"/>
    <w:rsid w:val="009E6B69"/>
    <w:rsid w:val="009F2CD2"/>
    <w:rsid w:val="00B03EEF"/>
    <w:rsid w:val="00B15241"/>
    <w:rsid w:val="00B302AE"/>
    <w:rsid w:val="00BA338F"/>
    <w:rsid w:val="00BB3FB5"/>
    <w:rsid w:val="00CF1E8B"/>
    <w:rsid w:val="00DC480C"/>
    <w:rsid w:val="00DC4A21"/>
    <w:rsid w:val="00E520D7"/>
    <w:rsid w:val="00E5224F"/>
    <w:rsid w:val="00F47B91"/>
    <w:rsid w:val="00F81CC5"/>
    <w:rsid w:val="00FA6CC6"/>
    <w:rsid w:val="09C868F9"/>
    <w:rsid w:val="0A201C11"/>
    <w:rsid w:val="12432E9A"/>
    <w:rsid w:val="161F5862"/>
    <w:rsid w:val="1C1454E7"/>
    <w:rsid w:val="1D36586C"/>
    <w:rsid w:val="21703462"/>
    <w:rsid w:val="24F61842"/>
    <w:rsid w:val="27507977"/>
    <w:rsid w:val="2C347894"/>
    <w:rsid w:val="323722F7"/>
    <w:rsid w:val="334C64E4"/>
    <w:rsid w:val="37FA4AD4"/>
    <w:rsid w:val="38794286"/>
    <w:rsid w:val="38FD5026"/>
    <w:rsid w:val="3B754DB4"/>
    <w:rsid w:val="3D31091D"/>
    <w:rsid w:val="400C0DE5"/>
    <w:rsid w:val="424F27AF"/>
    <w:rsid w:val="468D1F33"/>
    <w:rsid w:val="4865229C"/>
    <w:rsid w:val="4A3823AA"/>
    <w:rsid w:val="4ACD6820"/>
    <w:rsid w:val="58876EBB"/>
    <w:rsid w:val="5A6A2B61"/>
    <w:rsid w:val="5E622B5C"/>
    <w:rsid w:val="60DB2C78"/>
    <w:rsid w:val="66866833"/>
    <w:rsid w:val="6DF76F44"/>
    <w:rsid w:val="70BB1152"/>
    <w:rsid w:val="73814DC5"/>
    <w:rsid w:val="75F45394"/>
    <w:rsid w:val="78905FDD"/>
    <w:rsid w:val="7FFC018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paragraph" w:customStyle="1" w:styleId="11">
    <w:name w:val="列出段落1"/>
    <w:basedOn w:val="1"/>
    <w:unhideWhenUsed/>
    <w:qFormat/>
    <w:uiPriority w:val="99"/>
    <w:pPr>
      <w:ind w:firstLine="420" w:firstLineChars="200"/>
    </w:p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批注框文本 Char"/>
    <w:basedOn w:val="8"/>
    <w:link w:val="3"/>
    <w:qFormat/>
    <w:uiPriority w:val="0"/>
    <w:rPr>
      <w:rFonts w:ascii="Calibri" w:hAnsi="Calibri" w:eastAsia="宋体" w:cs="黑体"/>
      <w:kern w:val="2"/>
      <w:sz w:val="18"/>
      <w:szCs w:val="18"/>
    </w:rPr>
  </w:style>
  <w:style w:type="paragraph" w:customStyle="1" w:styleId="15">
    <w:name w:val="p0"/>
    <w:basedOn w:val="1"/>
    <w:qFormat/>
    <w:uiPriority w:val="0"/>
    <w:pPr>
      <w:widowControl/>
      <w:spacing w:before="100" w:beforeAutospacing="1" w:after="100" w:afterAutospacing="1"/>
      <w:jc w:val="left"/>
    </w:pPr>
    <w:rPr>
      <w:rFonts w:ascii="宋体" w:hAnsi="宋体" w:cs="宋体"/>
      <w:kern w:val="0"/>
      <w:sz w:val="24"/>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245</Words>
  <Characters>1400</Characters>
  <Lines>11</Lines>
  <Paragraphs>3</Paragraphs>
  <TotalTime>2</TotalTime>
  <ScaleCrop>false</ScaleCrop>
  <LinksUpToDate>false</LinksUpToDate>
  <CharactersWithSpaces>1642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2017-04-27T12:20:00Z</dcterms:created>
  <dc:creator>lenovo</dc:creator>
  <cp:lastModifiedBy>岚汐秦</cp:lastModifiedBy>
  <cp:lastPrinted>2017-06-27T07:23:00Z</cp:lastPrinted>
  <dcterms:modified xsi:type="dcterms:W3CDTF">2019-07-19T06:23:15Z</dcterms:modified>
  <dc:title>江西省房屋建筑和市政基础设施工程施工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